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6901E" w14:textId="1872B856" w:rsidR="0007668D" w:rsidRDefault="00FC4E64" w:rsidP="0007668D">
      <w:pPr>
        <w:spacing w:line="240" w:lineRule="auto"/>
        <w:contextualSpacing/>
        <w:jc w:val="center"/>
      </w:pPr>
      <w:r>
        <w:tab/>
      </w:r>
      <w:r>
        <w:tab/>
      </w:r>
      <w:r>
        <w:tab/>
      </w:r>
      <w:r>
        <w:tab/>
      </w:r>
      <w:r>
        <w:tab/>
      </w:r>
    </w:p>
    <w:p w14:paraId="6E571BB8" w14:textId="77777777" w:rsidR="0007668D" w:rsidRDefault="0007668D" w:rsidP="0007668D">
      <w:pPr>
        <w:spacing w:line="240" w:lineRule="auto"/>
        <w:contextualSpacing/>
        <w:jc w:val="center"/>
      </w:pPr>
    </w:p>
    <w:p w14:paraId="6859A2EF" w14:textId="77777777" w:rsidR="00FC4E64" w:rsidRDefault="00FC4E64" w:rsidP="0007668D">
      <w:pPr>
        <w:spacing w:line="240" w:lineRule="auto"/>
        <w:ind w:hanging="720"/>
        <w:contextualSpacing/>
      </w:pPr>
    </w:p>
    <w:p w14:paraId="5FAB4D04" w14:textId="51CCA51B" w:rsidR="0007668D" w:rsidRDefault="0007668D" w:rsidP="00FC4E64">
      <w:pPr>
        <w:tabs>
          <w:tab w:val="left" w:pos="10530"/>
        </w:tabs>
        <w:spacing w:line="240" w:lineRule="auto"/>
        <w:ind w:left="90" w:right="270" w:hanging="810"/>
        <w:contextualSpacing/>
        <w:jc w:val="center"/>
      </w:pPr>
    </w:p>
    <w:p w14:paraId="3B76CE98" w14:textId="62D42FEC" w:rsidR="002778D4" w:rsidRPr="00E9078B" w:rsidRDefault="00FC4E64" w:rsidP="00FC4E64">
      <w:pPr>
        <w:spacing w:line="240" w:lineRule="auto"/>
        <w:contextualSpacing/>
        <w:jc w:val="center"/>
        <w:rPr>
          <w:b/>
          <w:bCs/>
          <w:sz w:val="28"/>
          <w:szCs w:val="28"/>
        </w:rPr>
      </w:pPr>
      <w:r w:rsidRPr="00E9078B">
        <w:rPr>
          <w:b/>
          <w:bCs/>
          <w:sz w:val="28"/>
          <w:szCs w:val="28"/>
        </w:rPr>
        <w:t xml:space="preserve">Compliance Statement for State of California Environmental </w:t>
      </w:r>
    </w:p>
    <w:p w14:paraId="791901A6" w14:textId="566CDF63" w:rsidR="00FC4E64" w:rsidRPr="00E9078B" w:rsidRDefault="00FC4E64" w:rsidP="00FC4E64">
      <w:pPr>
        <w:spacing w:line="240" w:lineRule="auto"/>
        <w:contextualSpacing/>
        <w:jc w:val="center"/>
        <w:rPr>
          <w:b/>
          <w:bCs/>
          <w:sz w:val="28"/>
          <w:szCs w:val="28"/>
        </w:rPr>
      </w:pPr>
      <w:r w:rsidRPr="00E9078B">
        <w:rPr>
          <w:b/>
          <w:bCs/>
          <w:sz w:val="28"/>
          <w:szCs w:val="28"/>
        </w:rPr>
        <w:t xml:space="preserve">Protection Agency Office of Environmental Health Hazard Assessment </w:t>
      </w:r>
    </w:p>
    <w:p w14:paraId="310CAF93" w14:textId="1E456C92" w:rsidR="00FC4E64" w:rsidRPr="00E9078B" w:rsidRDefault="00FC4E64" w:rsidP="00FC4E64">
      <w:pPr>
        <w:spacing w:line="240" w:lineRule="auto"/>
        <w:contextualSpacing/>
        <w:jc w:val="center"/>
        <w:rPr>
          <w:b/>
          <w:bCs/>
          <w:sz w:val="28"/>
          <w:szCs w:val="28"/>
        </w:rPr>
      </w:pPr>
      <w:r w:rsidRPr="00E9078B">
        <w:rPr>
          <w:b/>
          <w:bCs/>
          <w:sz w:val="28"/>
          <w:szCs w:val="28"/>
        </w:rPr>
        <w:t xml:space="preserve">Safe Water Drinking and Toxic Enforcement Act of 1986 </w:t>
      </w:r>
    </w:p>
    <w:p w14:paraId="36839479" w14:textId="77777777" w:rsidR="00FC4E64" w:rsidRPr="00E9078B" w:rsidRDefault="00FC4E64" w:rsidP="00FC4E64">
      <w:pPr>
        <w:spacing w:line="240" w:lineRule="auto"/>
        <w:contextualSpacing/>
        <w:jc w:val="center"/>
        <w:rPr>
          <w:b/>
          <w:bCs/>
          <w:sz w:val="28"/>
          <w:szCs w:val="28"/>
        </w:rPr>
      </w:pPr>
    </w:p>
    <w:p w14:paraId="6B533183" w14:textId="3BD02FA2" w:rsidR="00FC4E64" w:rsidRDefault="00FC4E64" w:rsidP="00FC4E64">
      <w:pPr>
        <w:tabs>
          <w:tab w:val="left" w:pos="360"/>
        </w:tabs>
        <w:spacing w:line="240" w:lineRule="auto"/>
        <w:ind w:left="360" w:right="720"/>
        <w:contextualSpacing/>
        <w:rPr>
          <w:sz w:val="24"/>
          <w:szCs w:val="24"/>
        </w:rPr>
      </w:pPr>
      <w:r>
        <w:rPr>
          <w:sz w:val="24"/>
          <w:szCs w:val="24"/>
        </w:rPr>
        <w:tab/>
      </w:r>
      <w:r>
        <w:rPr>
          <w:sz w:val="24"/>
          <w:szCs w:val="24"/>
        </w:rPr>
        <w:tab/>
        <w:t xml:space="preserve">California Proposition 65, </w:t>
      </w:r>
      <w:r w:rsidR="00BA36D9">
        <w:rPr>
          <w:sz w:val="24"/>
          <w:szCs w:val="24"/>
        </w:rPr>
        <w:t>also</w:t>
      </w:r>
      <w:r>
        <w:rPr>
          <w:sz w:val="24"/>
          <w:szCs w:val="24"/>
        </w:rPr>
        <w:t xml:space="preserve"> known as the Safe Drinking Water and Toxic Enforcement Act of 1986, protects the state’s drinking water sources from being contaminated with chemicals known to cause cancer, birth defects or other reproductive harm, and requires businesses to inform Californians about exposures to such chemicals.  </w:t>
      </w:r>
    </w:p>
    <w:p w14:paraId="60D2C06D" w14:textId="77777777" w:rsidR="00FC4E64" w:rsidRDefault="00FC4E64" w:rsidP="00FC4E64">
      <w:pPr>
        <w:tabs>
          <w:tab w:val="left" w:pos="360"/>
        </w:tabs>
        <w:spacing w:line="240" w:lineRule="auto"/>
        <w:ind w:left="360" w:right="720"/>
        <w:contextualSpacing/>
        <w:rPr>
          <w:sz w:val="24"/>
          <w:szCs w:val="24"/>
        </w:rPr>
      </w:pPr>
    </w:p>
    <w:p w14:paraId="2890FA5A" w14:textId="747CECD8" w:rsidR="00FC4E64" w:rsidRDefault="00FC4E64" w:rsidP="00FC4E64">
      <w:pPr>
        <w:tabs>
          <w:tab w:val="left" w:pos="360"/>
        </w:tabs>
        <w:spacing w:line="240" w:lineRule="auto"/>
        <w:ind w:left="360" w:right="720"/>
        <w:contextualSpacing/>
        <w:rPr>
          <w:sz w:val="24"/>
          <w:szCs w:val="24"/>
        </w:rPr>
      </w:pPr>
      <w:r>
        <w:rPr>
          <w:sz w:val="24"/>
          <w:szCs w:val="24"/>
        </w:rPr>
        <w:tab/>
      </w:r>
      <w:r>
        <w:rPr>
          <w:sz w:val="24"/>
          <w:szCs w:val="24"/>
        </w:rPr>
        <w:tab/>
        <w:t xml:space="preserve">By law, a warning must be given for listed chemicals unless the exposure is low enough to pose no significant risk of cancer.  </w:t>
      </w:r>
      <w:r w:rsidR="00BA36D9">
        <w:rPr>
          <w:sz w:val="24"/>
          <w:szCs w:val="24"/>
        </w:rPr>
        <w:t xml:space="preserve">An exemption from the warning label requirement is provided by the Act when it can be demonstrated that product exposure is at or below “safe harbor levels”, namely that the levels pose no significant risk of cancer or birth defects/reproductive toxicity. </w:t>
      </w:r>
    </w:p>
    <w:p w14:paraId="7A5190F4" w14:textId="77777777" w:rsidR="00BA36D9" w:rsidRDefault="00BA36D9" w:rsidP="00FC4E64">
      <w:pPr>
        <w:tabs>
          <w:tab w:val="left" w:pos="360"/>
        </w:tabs>
        <w:spacing w:line="240" w:lineRule="auto"/>
        <w:ind w:left="360" w:right="720"/>
        <w:contextualSpacing/>
        <w:rPr>
          <w:sz w:val="24"/>
          <w:szCs w:val="24"/>
        </w:rPr>
      </w:pPr>
    </w:p>
    <w:p w14:paraId="761F1F0F" w14:textId="1A30F5CB" w:rsidR="00FC4E64" w:rsidRDefault="00BA36D9" w:rsidP="00BA36D9">
      <w:pPr>
        <w:tabs>
          <w:tab w:val="left" w:pos="360"/>
        </w:tabs>
        <w:spacing w:line="240" w:lineRule="auto"/>
        <w:ind w:left="360" w:right="720"/>
        <w:contextualSpacing/>
        <w:rPr>
          <w:sz w:val="24"/>
          <w:szCs w:val="24"/>
        </w:rPr>
      </w:pPr>
      <w:r>
        <w:rPr>
          <w:sz w:val="24"/>
          <w:szCs w:val="24"/>
        </w:rPr>
        <w:t xml:space="preserve">The PROP 65 list of chemicals is available from the following website: </w:t>
      </w:r>
    </w:p>
    <w:p w14:paraId="63629D15" w14:textId="23D014CC" w:rsidR="00BA36D9" w:rsidRDefault="00BA36D9" w:rsidP="00BA36D9">
      <w:pPr>
        <w:tabs>
          <w:tab w:val="left" w:pos="360"/>
        </w:tabs>
        <w:spacing w:line="240" w:lineRule="auto"/>
        <w:ind w:left="360" w:right="720"/>
        <w:contextualSpacing/>
        <w:rPr>
          <w:sz w:val="24"/>
          <w:szCs w:val="24"/>
        </w:rPr>
      </w:pPr>
      <w:hyperlink r:id="rId6" w:history="1">
        <w:r w:rsidRPr="00733701">
          <w:rPr>
            <w:rStyle w:val="Hyperlink"/>
            <w:sz w:val="24"/>
            <w:szCs w:val="24"/>
          </w:rPr>
          <w:t>http://www.oehha.ca.gov/proposition-65/proposition-65-list</w:t>
        </w:r>
      </w:hyperlink>
      <w:r>
        <w:rPr>
          <w:sz w:val="24"/>
          <w:szCs w:val="24"/>
        </w:rPr>
        <w:t xml:space="preserve"> </w:t>
      </w:r>
    </w:p>
    <w:p w14:paraId="50DEFAD5" w14:textId="77777777" w:rsidR="00BA36D9" w:rsidRDefault="00BA36D9" w:rsidP="00BA36D9">
      <w:pPr>
        <w:tabs>
          <w:tab w:val="left" w:pos="360"/>
        </w:tabs>
        <w:spacing w:line="240" w:lineRule="auto"/>
        <w:ind w:left="360" w:right="720"/>
        <w:contextualSpacing/>
        <w:rPr>
          <w:sz w:val="24"/>
          <w:szCs w:val="24"/>
        </w:rPr>
      </w:pPr>
    </w:p>
    <w:p w14:paraId="09FAADD6" w14:textId="2C2F0D6F" w:rsidR="00FC4E64" w:rsidRDefault="00FC4E64" w:rsidP="005D7980">
      <w:pPr>
        <w:tabs>
          <w:tab w:val="left" w:pos="360"/>
        </w:tabs>
        <w:spacing w:line="240" w:lineRule="auto"/>
        <w:ind w:left="360" w:right="720"/>
        <w:contextualSpacing/>
        <w:rPr>
          <w:sz w:val="24"/>
          <w:szCs w:val="24"/>
        </w:rPr>
      </w:pPr>
      <w:r>
        <w:rPr>
          <w:sz w:val="24"/>
          <w:szCs w:val="24"/>
        </w:rPr>
        <w:tab/>
      </w:r>
      <w:r>
        <w:rPr>
          <w:sz w:val="24"/>
          <w:szCs w:val="24"/>
        </w:rPr>
        <w:tab/>
        <w:t xml:space="preserve">The products manufactured by Halsit Holdings, dba Abbatron, contain one or more of the listed chemicals in Proposition 65.  </w:t>
      </w:r>
      <w:r w:rsidR="005D7980">
        <w:rPr>
          <w:sz w:val="24"/>
          <w:szCs w:val="24"/>
        </w:rPr>
        <w:t xml:space="preserve">These products may contain brass (lead content) and PVC (phthalates).  </w:t>
      </w:r>
      <w:r>
        <w:rPr>
          <w:sz w:val="24"/>
          <w:szCs w:val="24"/>
        </w:rPr>
        <w:t xml:space="preserve">Under normal conditions of use, Abbatron products pose no hazardous exposure to the user.  Normal conditions of use </w:t>
      </w:r>
      <w:r w:rsidR="005D7980">
        <w:rPr>
          <w:sz w:val="24"/>
          <w:szCs w:val="24"/>
        </w:rPr>
        <w:t>are</w:t>
      </w:r>
      <w:r>
        <w:rPr>
          <w:sz w:val="24"/>
          <w:szCs w:val="24"/>
        </w:rPr>
        <w:t xml:space="preserve"> defined as the end use function the </w:t>
      </w:r>
      <w:r w:rsidR="005D7980">
        <w:rPr>
          <w:sz w:val="24"/>
          <w:szCs w:val="24"/>
        </w:rPr>
        <w:t>materials</w:t>
      </w:r>
      <w:r>
        <w:rPr>
          <w:sz w:val="24"/>
          <w:szCs w:val="24"/>
        </w:rPr>
        <w:t xml:space="preserve"> and design were intended for.  Consequently, Abbatron is not required to label its products with a hazardous warning. </w:t>
      </w:r>
    </w:p>
    <w:p w14:paraId="1DC29CE8" w14:textId="77777777" w:rsidR="00FC4E64" w:rsidRDefault="00FC4E64" w:rsidP="00FC4E64">
      <w:pPr>
        <w:tabs>
          <w:tab w:val="left" w:pos="360"/>
        </w:tabs>
        <w:spacing w:line="240" w:lineRule="auto"/>
        <w:ind w:left="360" w:right="720"/>
        <w:contextualSpacing/>
        <w:rPr>
          <w:sz w:val="24"/>
          <w:szCs w:val="24"/>
        </w:rPr>
      </w:pPr>
    </w:p>
    <w:p w14:paraId="79439607" w14:textId="77777777" w:rsidR="00FC4E64" w:rsidRDefault="00FC4E64" w:rsidP="00FC4E64">
      <w:pPr>
        <w:tabs>
          <w:tab w:val="left" w:pos="360"/>
        </w:tabs>
        <w:spacing w:line="240" w:lineRule="auto"/>
        <w:ind w:left="360" w:right="720"/>
        <w:contextualSpacing/>
        <w:rPr>
          <w:sz w:val="24"/>
          <w:szCs w:val="24"/>
        </w:rPr>
      </w:pPr>
    </w:p>
    <w:p w14:paraId="0BC36896" w14:textId="2ACC40C5" w:rsidR="00FC4E64" w:rsidRDefault="00FC4E64" w:rsidP="00FC4E64">
      <w:pPr>
        <w:tabs>
          <w:tab w:val="left" w:pos="360"/>
        </w:tabs>
        <w:spacing w:line="240" w:lineRule="auto"/>
        <w:ind w:left="360" w:right="720"/>
        <w:contextualSpacing/>
        <w:rPr>
          <w:sz w:val="24"/>
          <w:szCs w:val="24"/>
        </w:rPr>
      </w:pPr>
      <w:r>
        <w:rPr>
          <w:sz w:val="24"/>
          <w:szCs w:val="24"/>
        </w:rPr>
        <w:t>Document Revision Date</w:t>
      </w:r>
      <w:r w:rsidR="00697573">
        <w:rPr>
          <w:sz w:val="24"/>
          <w:szCs w:val="24"/>
        </w:rPr>
        <w:t>: May</w:t>
      </w:r>
      <w:r>
        <w:rPr>
          <w:sz w:val="24"/>
          <w:szCs w:val="24"/>
        </w:rPr>
        <w:t xml:space="preserve"> </w:t>
      </w:r>
      <w:r w:rsidR="00BA36D9">
        <w:rPr>
          <w:sz w:val="24"/>
          <w:szCs w:val="24"/>
        </w:rPr>
        <w:t>15</w:t>
      </w:r>
      <w:r>
        <w:rPr>
          <w:sz w:val="24"/>
          <w:szCs w:val="24"/>
        </w:rPr>
        <w:t>, 2025</w:t>
      </w:r>
    </w:p>
    <w:p w14:paraId="5F071318" w14:textId="77777777" w:rsidR="00FC4E64" w:rsidRDefault="00FC4E64" w:rsidP="00FC4E64">
      <w:pPr>
        <w:tabs>
          <w:tab w:val="left" w:pos="360"/>
        </w:tabs>
        <w:spacing w:line="240" w:lineRule="auto"/>
        <w:ind w:left="360" w:right="720"/>
        <w:contextualSpacing/>
        <w:rPr>
          <w:sz w:val="24"/>
          <w:szCs w:val="24"/>
        </w:rPr>
      </w:pPr>
    </w:p>
    <w:p w14:paraId="6399B4C0" w14:textId="11012213" w:rsidR="00FC4E64" w:rsidRDefault="00FC4E64" w:rsidP="00FC4E64">
      <w:pPr>
        <w:tabs>
          <w:tab w:val="left" w:pos="360"/>
        </w:tabs>
        <w:spacing w:line="240" w:lineRule="auto"/>
        <w:ind w:left="360" w:right="720"/>
        <w:contextualSpacing/>
        <w:rPr>
          <w:sz w:val="24"/>
          <w:szCs w:val="24"/>
        </w:rPr>
      </w:pPr>
      <w:r>
        <w:rPr>
          <w:sz w:val="24"/>
          <w:szCs w:val="24"/>
        </w:rPr>
        <w:t xml:space="preserve">Sincerely, </w:t>
      </w:r>
    </w:p>
    <w:p w14:paraId="4DA09C3C" w14:textId="77777777" w:rsidR="00FC4E64" w:rsidRDefault="00FC4E64" w:rsidP="00FC4E64">
      <w:pPr>
        <w:tabs>
          <w:tab w:val="left" w:pos="360"/>
        </w:tabs>
        <w:spacing w:line="240" w:lineRule="auto"/>
        <w:ind w:left="360" w:right="720"/>
        <w:contextualSpacing/>
        <w:rPr>
          <w:sz w:val="24"/>
          <w:szCs w:val="24"/>
        </w:rPr>
      </w:pPr>
    </w:p>
    <w:p w14:paraId="1CEB375E" w14:textId="77777777" w:rsidR="00FC4E64" w:rsidRDefault="00FC4E64" w:rsidP="00FC4E64">
      <w:pPr>
        <w:tabs>
          <w:tab w:val="left" w:pos="360"/>
        </w:tabs>
        <w:spacing w:line="240" w:lineRule="auto"/>
        <w:ind w:left="360" w:right="720"/>
        <w:contextualSpacing/>
        <w:rPr>
          <w:sz w:val="24"/>
          <w:szCs w:val="24"/>
        </w:rPr>
      </w:pPr>
    </w:p>
    <w:p w14:paraId="56A815A3" w14:textId="719B43D5" w:rsidR="00FC4E64" w:rsidRDefault="00FC4E64" w:rsidP="00FC4E64">
      <w:pPr>
        <w:tabs>
          <w:tab w:val="left" w:pos="360"/>
        </w:tabs>
        <w:spacing w:line="240" w:lineRule="auto"/>
        <w:ind w:left="360" w:right="720"/>
        <w:contextualSpacing/>
        <w:rPr>
          <w:sz w:val="24"/>
          <w:szCs w:val="24"/>
        </w:rPr>
      </w:pPr>
      <w:r>
        <w:rPr>
          <w:sz w:val="24"/>
          <w:szCs w:val="24"/>
        </w:rPr>
        <w:t>_____________________</w:t>
      </w:r>
    </w:p>
    <w:p w14:paraId="75592403" w14:textId="05CAF705" w:rsidR="00FC4E64" w:rsidRDefault="00FC4E64" w:rsidP="00FC4E64">
      <w:pPr>
        <w:tabs>
          <w:tab w:val="left" w:pos="360"/>
        </w:tabs>
        <w:spacing w:line="240" w:lineRule="auto"/>
        <w:ind w:left="360" w:right="720"/>
        <w:contextualSpacing/>
        <w:rPr>
          <w:sz w:val="24"/>
          <w:szCs w:val="24"/>
        </w:rPr>
      </w:pPr>
      <w:r>
        <w:rPr>
          <w:sz w:val="24"/>
          <w:szCs w:val="24"/>
        </w:rPr>
        <w:t xml:space="preserve">James A. Sitter </w:t>
      </w:r>
    </w:p>
    <w:p w14:paraId="1ACC900B" w14:textId="25ABDDAB" w:rsidR="00FC4E64" w:rsidRDefault="00FC4E64" w:rsidP="00FC4E64">
      <w:pPr>
        <w:tabs>
          <w:tab w:val="left" w:pos="360"/>
        </w:tabs>
        <w:spacing w:line="240" w:lineRule="auto"/>
        <w:ind w:left="360" w:right="720"/>
        <w:contextualSpacing/>
        <w:rPr>
          <w:sz w:val="24"/>
          <w:szCs w:val="24"/>
        </w:rPr>
      </w:pPr>
      <w:r>
        <w:rPr>
          <w:sz w:val="24"/>
          <w:szCs w:val="24"/>
        </w:rPr>
        <w:t xml:space="preserve">President </w:t>
      </w:r>
    </w:p>
    <w:p w14:paraId="0FB6452E" w14:textId="76FE6A9B" w:rsidR="002778D4" w:rsidRPr="000B4ED7" w:rsidRDefault="00FC4E64" w:rsidP="005D7980">
      <w:pPr>
        <w:tabs>
          <w:tab w:val="left" w:pos="360"/>
        </w:tabs>
        <w:spacing w:line="240" w:lineRule="auto"/>
        <w:ind w:left="360" w:right="720"/>
        <w:contextualSpacing/>
        <w:rPr>
          <w:sz w:val="24"/>
          <w:szCs w:val="24"/>
        </w:rPr>
      </w:pPr>
      <w:r>
        <w:rPr>
          <w:sz w:val="24"/>
          <w:szCs w:val="24"/>
        </w:rPr>
        <w:t>Halsit Holdings, dba Abbatron</w:t>
      </w:r>
    </w:p>
    <w:p w14:paraId="3D324C23" w14:textId="501C801E" w:rsidR="0007668D" w:rsidRDefault="0007668D" w:rsidP="00BA36D9">
      <w:pPr>
        <w:spacing w:line="240" w:lineRule="auto"/>
        <w:contextualSpacing/>
      </w:pPr>
      <w:r w:rsidRPr="000B4ED7">
        <w:rPr>
          <w:sz w:val="24"/>
          <w:szCs w:val="24"/>
        </w:rPr>
        <w:tab/>
      </w:r>
      <w:r w:rsidRPr="000B4ED7">
        <w:rPr>
          <w:sz w:val="24"/>
          <w:szCs w:val="24"/>
        </w:rPr>
        <w:tab/>
      </w:r>
      <w:r w:rsidRPr="000B4ED7">
        <w:rPr>
          <w:sz w:val="24"/>
          <w:szCs w:val="24"/>
        </w:rPr>
        <w:tab/>
      </w:r>
      <w:r w:rsidRPr="000B4ED7">
        <w:rPr>
          <w:sz w:val="24"/>
          <w:szCs w:val="24"/>
        </w:rPr>
        <w:tab/>
      </w:r>
    </w:p>
    <w:p w14:paraId="0054DA7D" w14:textId="77777777" w:rsidR="0007668D" w:rsidRDefault="0007668D" w:rsidP="0007668D">
      <w:pPr>
        <w:spacing w:line="240" w:lineRule="auto"/>
        <w:ind w:hanging="720"/>
        <w:contextualSpacing/>
        <w:jc w:val="center"/>
      </w:pPr>
    </w:p>
    <w:p w14:paraId="578F789B" w14:textId="77777777" w:rsidR="0007668D" w:rsidRDefault="0007668D" w:rsidP="0007668D">
      <w:pPr>
        <w:spacing w:line="240" w:lineRule="auto"/>
        <w:ind w:hanging="720"/>
        <w:contextualSpacing/>
      </w:pPr>
    </w:p>
    <w:p w14:paraId="709F35F4" w14:textId="68E59C5D" w:rsidR="00146660" w:rsidRDefault="0007668D" w:rsidP="0007668D">
      <w:pPr>
        <w:spacing w:line="240" w:lineRule="auto"/>
        <w:ind w:hanging="720"/>
        <w:contextualSpacing/>
      </w:pPr>
      <w:r>
        <w:tab/>
      </w:r>
      <w:r>
        <w:tab/>
      </w:r>
      <w:r>
        <w:tab/>
      </w:r>
      <w:r>
        <w:tab/>
      </w:r>
      <w:r>
        <w:tab/>
      </w:r>
      <w:r>
        <w:tab/>
      </w:r>
      <w:r>
        <w:tab/>
      </w:r>
      <w:r>
        <w:tab/>
      </w:r>
      <w:r>
        <w:tab/>
      </w:r>
      <w:r>
        <w:tab/>
      </w:r>
      <w:r>
        <w:tab/>
      </w:r>
      <w:r>
        <w:tab/>
      </w:r>
      <w:r>
        <w:tab/>
      </w:r>
      <w:r>
        <w:tab/>
      </w:r>
      <w:r>
        <w:tab/>
      </w:r>
      <w:r>
        <w:tab/>
      </w:r>
      <w:r>
        <w:tab/>
      </w:r>
    </w:p>
    <w:sectPr w:rsidR="00146660" w:rsidSect="00FC4E64">
      <w:headerReference w:type="even" r:id="rId7"/>
      <w:headerReference w:type="default" r:id="rId8"/>
      <w:footerReference w:type="even" r:id="rId9"/>
      <w:footerReference w:type="default" r:id="rId10"/>
      <w:headerReference w:type="first" r:id="rId11"/>
      <w:footerReference w:type="first" r:id="rId12"/>
      <w:pgSz w:w="12240" w:h="15840"/>
      <w:pgMar w:top="1440" w:right="63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C01A" w14:textId="77777777" w:rsidR="0007668D" w:rsidRDefault="0007668D" w:rsidP="0007668D">
      <w:pPr>
        <w:spacing w:after="0" w:line="240" w:lineRule="auto"/>
      </w:pPr>
      <w:r>
        <w:separator/>
      </w:r>
    </w:p>
  </w:endnote>
  <w:endnote w:type="continuationSeparator" w:id="0">
    <w:p w14:paraId="6350763C" w14:textId="77777777" w:rsidR="0007668D" w:rsidRDefault="0007668D" w:rsidP="0007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1181" w14:textId="77777777" w:rsidR="00255C3B" w:rsidRDefault="0025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824BE" w14:textId="4C14D594" w:rsidR="0007668D" w:rsidRPr="00255C3B" w:rsidRDefault="00255C3B" w:rsidP="00255C3B">
    <w:pPr>
      <w:pStyle w:val="Footer"/>
    </w:pPr>
    <w:r>
      <w:rPr>
        <w:noProof/>
      </w:rPr>
      <w:drawing>
        <wp:anchor distT="152400" distB="152400" distL="152400" distR="152400" simplePos="0" relativeHeight="251661312" behindDoc="0" locked="0" layoutInCell="1" allowOverlap="1" wp14:anchorId="56526E4C" wp14:editId="146AC1C2">
          <wp:simplePos x="0" y="0"/>
          <wp:positionH relativeFrom="page">
            <wp:align>center</wp:align>
          </wp:positionH>
          <wp:positionV relativeFrom="line">
            <wp:posOffset>-248285</wp:posOffset>
          </wp:positionV>
          <wp:extent cx="7887970" cy="863600"/>
          <wp:effectExtent l="0" t="0" r="0" b="0"/>
          <wp:wrapNone/>
          <wp:docPr id="1881277002" name="officeArt object" descr="letterheadfooter.jpg"/>
          <wp:cNvGraphicFramePr/>
          <a:graphic xmlns:a="http://schemas.openxmlformats.org/drawingml/2006/main">
            <a:graphicData uri="http://schemas.openxmlformats.org/drawingml/2006/picture">
              <pic:pic xmlns:pic="http://schemas.openxmlformats.org/drawingml/2006/picture">
                <pic:nvPicPr>
                  <pic:cNvPr id="1073741825" name="letterheadfooter.jpg" descr="letterheadfooter.jpg"/>
                  <pic:cNvPicPr>
                    <a:picLocks noChangeAspect="1"/>
                  </pic:cNvPicPr>
                </pic:nvPicPr>
                <pic:blipFill>
                  <a:blip r:embed="rId1"/>
                  <a:stretch>
                    <a:fillRect/>
                  </a:stretch>
                </pic:blipFill>
                <pic:spPr>
                  <a:xfrm>
                    <a:off x="0" y="0"/>
                    <a:ext cx="7887970" cy="863600"/>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A89C" w14:textId="77777777" w:rsidR="00255C3B" w:rsidRDefault="0025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2FFD4" w14:textId="77777777" w:rsidR="0007668D" w:rsidRDefault="0007668D" w:rsidP="0007668D">
      <w:pPr>
        <w:spacing w:after="0" w:line="240" w:lineRule="auto"/>
      </w:pPr>
      <w:r>
        <w:separator/>
      </w:r>
    </w:p>
  </w:footnote>
  <w:footnote w:type="continuationSeparator" w:id="0">
    <w:p w14:paraId="32B1A5DC" w14:textId="77777777" w:rsidR="0007668D" w:rsidRDefault="0007668D" w:rsidP="00076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969C0" w14:textId="77777777" w:rsidR="00255C3B" w:rsidRDefault="0025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EB0E" w14:textId="47FE9EEC" w:rsidR="0007668D" w:rsidRDefault="0007668D" w:rsidP="0007668D">
    <w:pPr>
      <w:pStyle w:val="Header"/>
      <w:jc w:val="center"/>
    </w:pPr>
    <w:r>
      <w:rPr>
        <w:noProof/>
      </w:rPr>
      <w:drawing>
        <wp:anchor distT="152400" distB="152400" distL="152400" distR="152400" simplePos="0" relativeHeight="251659264" behindDoc="0" locked="0" layoutInCell="1" allowOverlap="1" wp14:anchorId="111EF420" wp14:editId="249396FC">
          <wp:simplePos x="0" y="0"/>
          <wp:positionH relativeFrom="margin">
            <wp:posOffset>2428875</wp:posOffset>
          </wp:positionH>
          <wp:positionV relativeFrom="page">
            <wp:posOffset>361950</wp:posOffset>
          </wp:positionV>
          <wp:extent cx="1842770" cy="921385"/>
          <wp:effectExtent l="0" t="0" r="5080" b="0"/>
          <wp:wrapThrough wrapText="bothSides">
            <wp:wrapPolygon edited="0">
              <wp:start x="0" y="0"/>
              <wp:lineTo x="0" y="20990"/>
              <wp:lineTo x="21436" y="20990"/>
              <wp:lineTo x="21436" y="0"/>
              <wp:lineTo x="0" y="0"/>
            </wp:wrapPolygon>
          </wp:wrapThrough>
          <wp:docPr id="662333663" name="Picture 1" descr="Logo_Abbatron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Abbatron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B7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99DD" w14:textId="77777777" w:rsidR="00255C3B" w:rsidRDefault="00255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8D"/>
    <w:rsid w:val="0007668D"/>
    <w:rsid w:val="000B4ED7"/>
    <w:rsid w:val="00146660"/>
    <w:rsid w:val="001B2E29"/>
    <w:rsid w:val="00255C3B"/>
    <w:rsid w:val="002778D4"/>
    <w:rsid w:val="0041408E"/>
    <w:rsid w:val="004B1725"/>
    <w:rsid w:val="004C6FF2"/>
    <w:rsid w:val="00554A7F"/>
    <w:rsid w:val="005D7980"/>
    <w:rsid w:val="00697573"/>
    <w:rsid w:val="00747798"/>
    <w:rsid w:val="007D14CE"/>
    <w:rsid w:val="00870B73"/>
    <w:rsid w:val="00A47CC5"/>
    <w:rsid w:val="00BA36D9"/>
    <w:rsid w:val="00E31474"/>
    <w:rsid w:val="00E9078B"/>
    <w:rsid w:val="00F44219"/>
    <w:rsid w:val="00F5680F"/>
    <w:rsid w:val="00FC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4EEADE"/>
  <w15:chartTrackingRefBased/>
  <w15:docId w15:val="{BAE36DA0-21F2-42BB-9714-0D66867F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6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6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68D"/>
    <w:rPr>
      <w:rFonts w:eastAsiaTheme="majorEastAsia" w:cstheme="majorBidi"/>
      <w:color w:val="272727" w:themeColor="text1" w:themeTint="D8"/>
    </w:rPr>
  </w:style>
  <w:style w:type="paragraph" w:styleId="Title">
    <w:name w:val="Title"/>
    <w:basedOn w:val="Normal"/>
    <w:next w:val="Normal"/>
    <w:link w:val="TitleChar"/>
    <w:uiPriority w:val="10"/>
    <w:qFormat/>
    <w:rsid w:val="0007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68D"/>
    <w:pPr>
      <w:spacing w:before="160"/>
      <w:jc w:val="center"/>
    </w:pPr>
    <w:rPr>
      <w:i/>
      <w:iCs/>
      <w:color w:val="404040" w:themeColor="text1" w:themeTint="BF"/>
    </w:rPr>
  </w:style>
  <w:style w:type="character" w:customStyle="1" w:styleId="QuoteChar">
    <w:name w:val="Quote Char"/>
    <w:basedOn w:val="DefaultParagraphFont"/>
    <w:link w:val="Quote"/>
    <w:uiPriority w:val="29"/>
    <w:rsid w:val="0007668D"/>
    <w:rPr>
      <w:i/>
      <w:iCs/>
      <w:color w:val="404040" w:themeColor="text1" w:themeTint="BF"/>
    </w:rPr>
  </w:style>
  <w:style w:type="paragraph" w:styleId="ListParagraph">
    <w:name w:val="List Paragraph"/>
    <w:basedOn w:val="Normal"/>
    <w:uiPriority w:val="34"/>
    <w:qFormat/>
    <w:rsid w:val="0007668D"/>
    <w:pPr>
      <w:ind w:left="720"/>
      <w:contextualSpacing/>
    </w:pPr>
  </w:style>
  <w:style w:type="character" w:styleId="IntenseEmphasis">
    <w:name w:val="Intense Emphasis"/>
    <w:basedOn w:val="DefaultParagraphFont"/>
    <w:uiPriority w:val="21"/>
    <w:qFormat/>
    <w:rsid w:val="0007668D"/>
    <w:rPr>
      <w:i/>
      <w:iCs/>
      <w:color w:val="0F4761" w:themeColor="accent1" w:themeShade="BF"/>
    </w:rPr>
  </w:style>
  <w:style w:type="paragraph" w:styleId="IntenseQuote">
    <w:name w:val="Intense Quote"/>
    <w:basedOn w:val="Normal"/>
    <w:next w:val="Normal"/>
    <w:link w:val="IntenseQuoteChar"/>
    <w:uiPriority w:val="30"/>
    <w:qFormat/>
    <w:rsid w:val="00076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68D"/>
    <w:rPr>
      <w:i/>
      <w:iCs/>
      <w:color w:val="0F4761" w:themeColor="accent1" w:themeShade="BF"/>
    </w:rPr>
  </w:style>
  <w:style w:type="character" w:styleId="IntenseReference">
    <w:name w:val="Intense Reference"/>
    <w:basedOn w:val="DefaultParagraphFont"/>
    <w:uiPriority w:val="32"/>
    <w:qFormat/>
    <w:rsid w:val="0007668D"/>
    <w:rPr>
      <w:b/>
      <w:bCs/>
      <w:smallCaps/>
      <w:color w:val="0F4761" w:themeColor="accent1" w:themeShade="BF"/>
      <w:spacing w:val="5"/>
    </w:rPr>
  </w:style>
  <w:style w:type="paragraph" w:styleId="Header">
    <w:name w:val="header"/>
    <w:basedOn w:val="Normal"/>
    <w:link w:val="HeaderChar"/>
    <w:uiPriority w:val="99"/>
    <w:unhideWhenUsed/>
    <w:rsid w:val="00076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8D"/>
  </w:style>
  <w:style w:type="paragraph" w:styleId="Footer">
    <w:name w:val="footer"/>
    <w:basedOn w:val="Normal"/>
    <w:link w:val="FooterChar"/>
    <w:uiPriority w:val="99"/>
    <w:unhideWhenUsed/>
    <w:rsid w:val="00076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68D"/>
  </w:style>
  <w:style w:type="character" w:styleId="Hyperlink">
    <w:name w:val="Hyperlink"/>
    <w:basedOn w:val="DefaultParagraphFont"/>
    <w:uiPriority w:val="99"/>
    <w:unhideWhenUsed/>
    <w:rsid w:val="0007668D"/>
    <w:rPr>
      <w:color w:val="467886" w:themeColor="hyperlink"/>
      <w:u w:val="single"/>
    </w:rPr>
  </w:style>
  <w:style w:type="character" w:styleId="UnresolvedMention">
    <w:name w:val="Unresolved Mention"/>
    <w:basedOn w:val="DefaultParagraphFont"/>
    <w:uiPriority w:val="99"/>
    <w:semiHidden/>
    <w:unhideWhenUsed/>
    <w:rsid w:val="0007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hha.ca.gov/proposition-65/proposition-65-lis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Stearns</dc:creator>
  <cp:keywords/>
  <dc:description/>
  <cp:lastModifiedBy>Nadine Stearns</cp:lastModifiedBy>
  <cp:revision>8</cp:revision>
  <cp:lastPrinted>2025-05-15T19:47:00Z</cp:lastPrinted>
  <dcterms:created xsi:type="dcterms:W3CDTF">2025-05-08T21:21:00Z</dcterms:created>
  <dcterms:modified xsi:type="dcterms:W3CDTF">2025-05-15T19:47:00Z</dcterms:modified>
</cp:coreProperties>
</file>